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80BDE" w14:textId="0CA4992D" w:rsidR="00DE042F" w:rsidRDefault="00DE042F" w:rsidP="00DE042F">
      <w:pPr>
        <w:ind w:left="360"/>
      </w:pPr>
      <w:r>
        <w:t xml:space="preserve">What is Genome </w:t>
      </w:r>
      <w:proofErr w:type="gramStart"/>
      <w:r>
        <w:t>Browser ?</w:t>
      </w:r>
      <w:proofErr w:type="gramEnd"/>
    </w:p>
    <w:p w14:paraId="0C41B946" w14:textId="2A72C1CC" w:rsidR="00274785" w:rsidRDefault="00274785" w:rsidP="00DE042F">
      <w:pPr>
        <w:pStyle w:val="ListParagraph"/>
        <w:numPr>
          <w:ilvl w:val="0"/>
          <w:numId w:val="1"/>
        </w:numPr>
      </w:pPr>
      <w:r w:rsidRPr="00274785">
        <w:t>Genome browsers provide an aid to the researcher by importing biological data from various sources and presenting these data in an integrated way</w:t>
      </w:r>
    </w:p>
    <w:p w14:paraId="3D7DEC73" w14:textId="7A973578" w:rsidR="00274785" w:rsidRDefault="00274785" w:rsidP="00274785">
      <w:pPr>
        <w:pStyle w:val="ListParagraph"/>
        <w:numPr>
          <w:ilvl w:val="0"/>
          <w:numId w:val="1"/>
        </w:numPr>
      </w:pPr>
      <w:r>
        <w:t xml:space="preserve">Three multi-species genome browsers are widely used by the scientific community: the UCSC genome browser, NCBI Map Viewer, and </w:t>
      </w:r>
      <w:proofErr w:type="spellStart"/>
      <w:r>
        <w:t>Ensembl</w:t>
      </w:r>
      <w:proofErr w:type="spellEnd"/>
      <w:r>
        <w:t xml:space="preserve">. </w:t>
      </w:r>
      <w:r w:rsidRPr="00274785">
        <w:t>Others include H-</w:t>
      </w:r>
      <w:proofErr w:type="spellStart"/>
      <w:r w:rsidRPr="00274785">
        <w:t>INvDB</w:t>
      </w:r>
      <w:proofErr w:type="spellEnd"/>
      <w:r w:rsidRPr="00274785">
        <w:t xml:space="preserve"> or the </w:t>
      </w:r>
      <w:proofErr w:type="spellStart"/>
      <w:r w:rsidRPr="00274785">
        <w:t>FlyBase</w:t>
      </w:r>
      <w:proofErr w:type="spellEnd"/>
      <w:r w:rsidRPr="00274785">
        <w:t xml:space="preserve"> genome browser, and focus on one or a few species</w:t>
      </w:r>
    </w:p>
    <w:p w14:paraId="551AEE77" w14:textId="6D90FE19" w:rsidR="00274785" w:rsidRDefault="00274785" w:rsidP="00274785">
      <w:pPr>
        <w:pStyle w:val="ListParagraph"/>
      </w:pPr>
      <w:r w:rsidRPr="00274785">
        <w:drawing>
          <wp:inline distT="0" distB="0" distL="0" distR="0" wp14:anchorId="6E70F1CD" wp14:editId="17CEC0CF">
            <wp:extent cx="4013200" cy="2949208"/>
            <wp:effectExtent l="0" t="0" r="6350" b="3810"/>
            <wp:docPr id="206144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491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18124" cy="295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3A22" w14:textId="77777777" w:rsidR="00DE042F" w:rsidRDefault="00DE042F" w:rsidP="00DE042F">
      <w:pPr>
        <w:pStyle w:val="ListParagraph"/>
      </w:pPr>
    </w:p>
    <w:p w14:paraId="511D0E5B" w14:textId="3EE3E7ED" w:rsidR="00DE042F" w:rsidRDefault="00DE042F" w:rsidP="00DE042F">
      <w:pPr>
        <w:pStyle w:val="ListParagraph"/>
      </w:pPr>
      <w:proofErr w:type="spellStart"/>
      <w:r>
        <w:t>Ensembl</w:t>
      </w:r>
      <w:proofErr w:type="spellEnd"/>
    </w:p>
    <w:p w14:paraId="22D15A92" w14:textId="36591CEB" w:rsidR="00DE042F" w:rsidRDefault="00DE042F" w:rsidP="00DE042F">
      <w:pPr>
        <w:pStyle w:val="ListParagraph"/>
        <w:numPr>
          <w:ilvl w:val="0"/>
          <w:numId w:val="1"/>
        </w:numPr>
      </w:pPr>
      <w:r>
        <w:t>The E</w:t>
      </w:r>
      <w:proofErr w:type="spellStart"/>
      <w:r>
        <w:t>nsembl</w:t>
      </w:r>
      <w:proofErr w:type="spellEnd"/>
      <w:r>
        <w:t xml:space="preserve"> project focuses on the chordate genomes, with the inclusion of additional model organisms that have been extensively studied in biological research and have a reliable, manually annotated gene se</w:t>
      </w:r>
      <w:r>
        <w:t>t</w:t>
      </w:r>
    </w:p>
    <w:p w14:paraId="77079A0C" w14:textId="74FEC878" w:rsidR="00DE042F" w:rsidRDefault="00DE042F" w:rsidP="00DE042F">
      <w:pPr>
        <w:pStyle w:val="ListParagraph"/>
        <w:numPr>
          <w:ilvl w:val="0"/>
          <w:numId w:val="1"/>
        </w:numPr>
      </w:pPr>
      <w:proofErr w:type="spellStart"/>
      <w:r w:rsidRPr="00DE042F">
        <w:t>Ensembl</w:t>
      </w:r>
      <w:proofErr w:type="spellEnd"/>
      <w:r w:rsidRPr="00DE042F">
        <w:t xml:space="preserve"> includes annotation such as sequence variation, comparative associations, mRNA and protein from other databases, predicted features such as CpG </w:t>
      </w:r>
      <w:proofErr w:type="gramStart"/>
      <w:r w:rsidRPr="00DE042F">
        <w:t>islands ,</w:t>
      </w:r>
      <w:proofErr w:type="gramEnd"/>
      <w:r w:rsidRPr="00DE042F">
        <w:t xml:space="preserve"> and repeats and motifs mapped along the genome.</w:t>
      </w:r>
    </w:p>
    <w:p w14:paraId="3859A936" w14:textId="69DCC756" w:rsidR="00DE042F" w:rsidRDefault="00DE042F" w:rsidP="00DE042F">
      <w:pPr>
        <w:pStyle w:val="ListParagraph"/>
        <w:numPr>
          <w:ilvl w:val="0"/>
          <w:numId w:val="1"/>
        </w:numPr>
      </w:pPr>
      <w:r w:rsidRPr="00DE042F">
        <w:t xml:space="preserve">Homology relationships based on gene comparisons across all annotated species in </w:t>
      </w:r>
      <w:proofErr w:type="spellStart"/>
      <w:proofErr w:type="gramStart"/>
      <w:r w:rsidRPr="00DE042F">
        <w:t>Ensembl</w:t>
      </w:r>
      <w:proofErr w:type="spellEnd"/>
      <w:r w:rsidRPr="00DE042F">
        <w:t xml:space="preserve"> ,along</w:t>
      </w:r>
      <w:proofErr w:type="gramEnd"/>
      <w:r w:rsidRPr="00DE042F">
        <w:t xml:space="preserve"> with whole-genome alignments, such as alignments of 31 mammalian genomes, can be readily viewed in the browser.</w:t>
      </w:r>
    </w:p>
    <w:p w14:paraId="5992800A" w14:textId="77777777" w:rsidR="00DE042F" w:rsidRDefault="00DE042F" w:rsidP="00DE042F">
      <w:pPr>
        <w:pStyle w:val="ListParagraph"/>
      </w:pPr>
    </w:p>
    <w:p w14:paraId="6C7E8678" w14:textId="62116A04" w:rsidR="00DE042F" w:rsidRDefault="00DE042F" w:rsidP="00DE042F">
      <w:pPr>
        <w:pStyle w:val="ListParagraph"/>
      </w:pPr>
      <w:r>
        <w:t>Case Studies</w:t>
      </w:r>
    </w:p>
    <w:p w14:paraId="611BC15A" w14:textId="6FDB2745" w:rsidR="00DE042F" w:rsidRDefault="00ED13FC" w:rsidP="00DE042F">
      <w:pPr>
        <w:pStyle w:val="ListParagraph"/>
        <w:numPr>
          <w:ilvl w:val="0"/>
          <w:numId w:val="1"/>
        </w:numPr>
      </w:pPr>
      <w:r>
        <w:t xml:space="preserve">In the following four case studies, we use the </w:t>
      </w:r>
      <w:proofErr w:type="spellStart"/>
      <w:r>
        <w:t>Ensembl</w:t>
      </w:r>
      <w:proofErr w:type="spellEnd"/>
      <w:r>
        <w:t xml:space="preserve"> genome browser to demonstrate how to view and predict functional regions in the genome</w:t>
      </w:r>
    </w:p>
    <w:p w14:paraId="3AC551C2" w14:textId="64C3A538" w:rsidR="00ED13FC" w:rsidRDefault="00ED13FC" w:rsidP="00DE042F">
      <w:pPr>
        <w:pStyle w:val="ListParagraph"/>
        <w:numPr>
          <w:ilvl w:val="0"/>
          <w:numId w:val="1"/>
        </w:numPr>
      </w:pPr>
      <w:r>
        <w:t xml:space="preserve">First, we examine known regulatory features for the human IL2 gene and discuss how to display these features in </w:t>
      </w:r>
      <w:proofErr w:type="spellStart"/>
      <w:r>
        <w:t>Ensembl</w:t>
      </w:r>
      <w:proofErr w:type="spellEnd"/>
    </w:p>
    <w:p w14:paraId="433626B2" w14:textId="1B9D3458" w:rsidR="00ED13FC" w:rsidRDefault="00ED13FC" w:rsidP="00DE042F">
      <w:pPr>
        <w:pStyle w:val="ListParagraph"/>
        <w:numPr>
          <w:ilvl w:val="0"/>
          <w:numId w:val="1"/>
        </w:numPr>
      </w:pPr>
      <w:r>
        <w:t xml:space="preserve">In study 2, </w:t>
      </w:r>
      <w:r>
        <w:t>we use human MYO6</w:t>
      </w:r>
      <w:r>
        <w:t xml:space="preserve">. </w:t>
      </w:r>
      <w:r>
        <w:t>Using comparative genomics, we show how the location of functional sequences may be predicted</w:t>
      </w:r>
    </w:p>
    <w:p w14:paraId="559BCB7D" w14:textId="0C95968F" w:rsidR="00ED13FC" w:rsidRDefault="00ED13FC" w:rsidP="00DE042F">
      <w:pPr>
        <w:pStyle w:val="ListParagraph"/>
        <w:numPr>
          <w:ilvl w:val="0"/>
          <w:numId w:val="1"/>
        </w:numPr>
      </w:pPr>
      <w:r>
        <w:t>I</w:t>
      </w:r>
      <w:r>
        <w:t xml:space="preserve">n case study 3, we demonstrate how the information in </w:t>
      </w:r>
      <w:proofErr w:type="spellStart"/>
      <w:r>
        <w:t>Ensembl</w:t>
      </w:r>
      <w:proofErr w:type="spellEnd"/>
      <w:r>
        <w:t xml:space="preserve"> can be extended through DAS (the Distributed Annotation System)</w:t>
      </w:r>
      <w:r>
        <w:t xml:space="preserve"> </w:t>
      </w:r>
      <w:r>
        <w:t>to view data from external sources</w:t>
      </w:r>
    </w:p>
    <w:p w14:paraId="40B42020" w14:textId="4E4F0005" w:rsidR="00ED13FC" w:rsidRDefault="00ED13FC" w:rsidP="00DE042F">
      <w:pPr>
        <w:pStyle w:val="ListParagraph"/>
        <w:numPr>
          <w:ilvl w:val="0"/>
          <w:numId w:val="1"/>
        </w:numPr>
      </w:pPr>
      <w:r>
        <w:t xml:space="preserve">In study 4, </w:t>
      </w:r>
      <w:r>
        <w:t>we explore a variation associated with disease phenotypes.</w:t>
      </w:r>
    </w:p>
    <w:p w14:paraId="301CFD7F" w14:textId="77777777" w:rsidR="00ED13FC" w:rsidRDefault="00ED13FC" w:rsidP="00ED13FC">
      <w:pPr>
        <w:ind w:left="360"/>
      </w:pPr>
    </w:p>
    <w:p w14:paraId="03AA7516" w14:textId="77777777" w:rsidR="00B44862" w:rsidRDefault="00B44862" w:rsidP="00ED13FC">
      <w:pPr>
        <w:ind w:left="360"/>
      </w:pPr>
    </w:p>
    <w:p w14:paraId="76F054A9" w14:textId="1D72F6A9" w:rsidR="00ED13FC" w:rsidRDefault="00ED13FC" w:rsidP="00ED13FC">
      <w:pPr>
        <w:ind w:left="720"/>
      </w:pPr>
      <w:r>
        <w:lastRenderedPageBreak/>
        <w:t xml:space="preserve">Case Study </w:t>
      </w:r>
      <w:proofErr w:type="gramStart"/>
      <w:r>
        <w:t>1 :</w:t>
      </w:r>
      <w:proofErr w:type="gramEnd"/>
      <w:r>
        <w:t xml:space="preserve"> Regulatory Regions for the IL2 Gene</w:t>
      </w:r>
    </w:p>
    <w:p w14:paraId="24D14137" w14:textId="77777777" w:rsidR="00E202B6" w:rsidRDefault="00ED13FC" w:rsidP="00ED13FC">
      <w:pPr>
        <w:pStyle w:val="ListParagraph"/>
        <w:numPr>
          <w:ilvl w:val="0"/>
          <w:numId w:val="1"/>
        </w:numPr>
      </w:pPr>
      <w:r>
        <w:t>We investigate IL2, the interleukin 2 gene, in human (ENSG00000109471). Gene regulation has been studied</w:t>
      </w:r>
      <w:r>
        <w:t xml:space="preserve"> </w:t>
      </w:r>
      <w:r>
        <w:t>at the 5' end of the IL2 transcript and flanking sequence</w:t>
      </w:r>
      <w:r w:rsidR="00E202B6">
        <w:t>.</w:t>
      </w:r>
    </w:p>
    <w:p w14:paraId="25AF7197" w14:textId="7293A296" w:rsidR="00ED13FC" w:rsidRDefault="00E202B6" w:rsidP="00ED13FC">
      <w:pPr>
        <w:pStyle w:val="ListParagraph"/>
        <w:numPr>
          <w:ilvl w:val="0"/>
          <w:numId w:val="1"/>
        </w:numPr>
      </w:pPr>
      <w:r>
        <w:t xml:space="preserve"> </w:t>
      </w:r>
      <w:r w:rsidRPr="00E202B6">
        <w:t>The ENCODE pilot study mapped promoter regions and regulatory sequences in 1% of the human genome, and this approach is now being extended to the entire genome.</w:t>
      </w:r>
    </w:p>
    <w:p w14:paraId="7504CAED" w14:textId="7361BC4A" w:rsidR="00E202B6" w:rsidRDefault="00B44862" w:rsidP="00ED13FC">
      <w:pPr>
        <w:pStyle w:val="ListParagraph"/>
        <w:numPr>
          <w:ilvl w:val="0"/>
          <w:numId w:val="1"/>
        </w:numPr>
      </w:pPr>
      <w:proofErr w:type="spellStart"/>
      <w:r>
        <w:t>Ensembl</w:t>
      </w:r>
      <w:proofErr w:type="spellEnd"/>
      <w:r>
        <w:t xml:space="preserve"> has made a first attempt at annotating these sequences genome-wide by producing a 'regulatory build' based on data from </w:t>
      </w:r>
      <w:proofErr w:type="spellStart"/>
      <w:r>
        <w:t>ChIP</w:t>
      </w:r>
      <w:proofErr w:type="spellEnd"/>
      <w:r>
        <w:t>-</w:t>
      </w:r>
      <w:proofErr w:type="gramStart"/>
      <w:r>
        <w:t>Chip[</w:t>
      </w:r>
      <w:proofErr w:type="gramEnd"/>
      <w:r>
        <w:t xml:space="preserve">18] and </w:t>
      </w:r>
      <w:proofErr w:type="spellStart"/>
      <w:r>
        <w:t>ChIP-Seq</w:t>
      </w:r>
      <w:proofErr w:type="spellEnd"/>
      <w:r>
        <w:t xml:space="preserve"> [19] experiments</w:t>
      </w:r>
    </w:p>
    <w:p w14:paraId="08B7C0D8" w14:textId="1950EDCD" w:rsidR="00B44862" w:rsidRDefault="00B44862" w:rsidP="00ED13FC">
      <w:pPr>
        <w:pStyle w:val="ListParagraph"/>
        <w:numPr>
          <w:ilvl w:val="0"/>
          <w:numId w:val="1"/>
        </w:numPr>
      </w:pPr>
      <w:r>
        <w:t xml:space="preserve">The ensuing data in the 'Regulatory regions' track in </w:t>
      </w:r>
      <w:proofErr w:type="spellStart"/>
      <w:r>
        <w:t>Ensembl</w:t>
      </w:r>
      <w:proofErr w:type="spellEnd"/>
      <w:r>
        <w:t xml:space="preserve"> are for specific cell types, and include DNase I Hypersensitive sites, CCCTC-binding factor (CTCF) sites, and Histone modification sites</w:t>
      </w:r>
    </w:p>
    <w:p w14:paraId="5C61E1BB" w14:textId="5B7FCBA9" w:rsidR="00B44862" w:rsidRDefault="00B44862" w:rsidP="00ED13FC">
      <w:pPr>
        <w:pStyle w:val="ListParagraph"/>
        <w:numPr>
          <w:ilvl w:val="0"/>
          <w:numId w:val="1"/>
        </w:numPr>
      </w:pPr>
      <w:r>
        <w:t>The IL2 gene possesses features from the regulatory build on the flanking regions to the IL2 transcript</w:t>
      </w:r>
    </w:p>
    <w:p w14:paraId="0EBDF1B8" w14:textId="7F0ABAC4" w:rsidR="00B44862" w:rsidRDefault="00B44862" w:rsidP="00B44862">
      <w:pPr>
        <w:pStyle w:val="ListParagraph"/>
      </w:pPr>
      <w:r w:rsidRPr="00B44862">
        <w:drawing>
          <wp:inline distT="0" distB="0" distL="0" distR="0" wp14:anchorId="59ABFCF1" wp14:editId="6544DEB3">
            <wp:extent cx="5039385" cy="2739670"/>
            <wp:effectExtent l="0" t="0" r="8890" b="3810"/>
            <wp:docPr id="196190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019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6639" cy="274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16E7" w14:textId="021822CF" w:rsidR="00ED13FC" w:rsidRDefault="00E2789D" w:rsidP="00E2789D">
      <w:pPr>
        <w:pStyle w:val="ListParagraph"/>
        <w:numPr>
          <w:ilvl w:val="0"/>
          <w:numId w:val="1"/>
        </w:numPr>
      </w:pPr>
      <w:r>
        <w:t>To look more closely at the nucleotide sequence itself, we can view an alignment of the upstream region of the IL2 gene across mammals at the base pair level</w:t>
      </w:r>
    </w:p>
    <w:p w14:paraId="1E6F23EC" w14:textId="393A3BFB" w:rsidR="00E2789D" w:rsidRDefault="00E2789D" w:rsidP="00E2789D">
      <w:pPr>
        <w:pStyle w:val="ListParagraph"/>
      </w:pPr>
      <w:r w:rsidRPr="00E2789D">
        <w:drawing>
          <wp:inline distT="0" distB="0" distL="0" distR="0" wp14:anchorId="0A1BDD7C" wp14:editId="0AFC3F0A">
            <wp:extent cx="5160433" cy="2438999"/>
            <wp:effectExtent l="0" t="0" r="2540" b="0"/>
            <wp:docPr id="1271803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032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2424" cy="244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BB79" w14:textId="2AE1310B" w:rsidR="00E2789D" w:rsidRDefault="00E2789D" w:rsidP="00E2789D">
      <w:pPr>
        <w:pStyle w:val="ListParagraph"/>
        <w:numPr>
          <w:ilvl w:val="0"/>
          <w:numId w:val="1"/>
        </w:numPr>
      </w:pPr>
      <w:r>
        <w:t>The sequence in this region is highly conserved across the eutherian mammals shown. The presence of the NFAT (nuclear factor of activated T cells) binding site and TATA box (in the promoter region) for the IL2 gene are boxed, along with the translational start site (ATG)</w:t>
      </w:r>
    </w:p>
    <w:p w14:paraId="67D15DE0" w14:textId="15E6F33D" w:rsidR="00E2789D" w:rsidRDefault="00E2789D" w:rsidP="00E2789D">
      <w:pPr>
        <w:pStyle w:val="ListParagraph"/>
      </w:pPr>
      <w:r>
        <w:t>This is to illustrate how to view conserved regions in a sequence, and how rich the 5' sequence and flank can be in terms of binding sites and regulatory element</w:t>
      </w:r>
      <w:r>
        <w:t>s</w:t>
      </w:r>
    </w:p>
    <w:p w14:paraId="32C82D39" w14:textId="61DA3B77" w:rsidR="00E2789D" w:rsidRDefault="00E2789D" w:rsidP="00E2789D">
      <w:pPr>
        <w:pStyle w:val="ListParagraph"/>
      </w:pPr>
      <w:r>
        <w:lastRenderedPageBreak/>
        <w:t xml:space="preserve">Case Study </w:t>
      </w:r>
      <w:proofErr w:type="gramStart"/>
      <w:r>
        <w:t>2 :</w:t>
      </w:r>
      <w:proofErr w:type="gramEnd"/>
      <w:r>
        <w:t xml:space="preserve"> Function for a Gene</w:t>
      </w:r>
    </w:p>
    <w:p w14:paraId="28945E9D" w14:textId="77777777" w:rsidR="00E2789D" w:rsidRDefault="00E2789D" w:rsidP="00E2789D">
      <w:pPr>
        <w:pStyle w:val="ListParagraph"/>
      </w:pPr>
    </w:p>
    <w:p w14:paraId="7B5E1B77" w14:textId="343D0DA0" w:rsidR="00E2789D" w:rsidRDefault="00E2789D" w:rsidP="00E2789D">
      <w:pPr>
        <w:pStyle w:val="ListParagraph"/>
        <w:numPr>
          <w:ilvl w:val="0"/>
          <w:numId w:val="1"/>
        </w:numPr>
      </w:pPr>
      <w:r>
        <w:t>In this example we consider human MYO6, ENSG00000196586, which has been studied in the mouse model to understand its role in endocytosis and inner-ear development</w:t>
      </w:r>
    </w:p>
    <w:p w14:paraId="15800E0F" w14:textId="695FE8AE" w:rsidR="00261AE0" w:rsidRDefault="00261AE0" w:rsidP="00E2789D">
      <w:pPr>
        <w:pStyle w:val="ListParagraph"/>
        <w:numPr>
          <w:ilvl w:val="0"/>
          <w:numId w:val="1"/>
        </w:numPr>
      </w:pPr>
      <w:r>
        <w:t xml:space="preserve">Orthologues and paralogues in </w:t>
      </w:r>
      <w:proofErr w:type="spellStart"/>
      <w:r>
        <w:t>Ensembl</w:t>
      </w:r>
      <w:proofErr w:type="spellEnd"/>
      <w:r>
        <w:t xml:space="preserve"> are determined using phylogenetic gene trees</w:t>
      </w:r>
      <w:r>
        <w:t xml:space="preserve"> </w:t>
      </w:r>
      <w:r>
        <w:t>across all available species</w:t>
      </w:r>
    </w:p>
    <w:p w14:paraId="5112222F" w14:textId="3D6E3402" w:rsidR="00847FC4" w:rsidRDefault="00261AE0" w:rsidP="00847FC4">
      <w:pPr>
        <w:pStyle w:val="ListParagraph"/>
      </w:pPr>
      <w:r w:rsidRPr="00261AE0">
        <w:drawing>
          <wp:inline distT="0" distB="0" distL="0" distR="0" wp14:anchorId="77546172" wp14:editId="562B3262">
            <wp:extent cx="3881658" cy="2040128"/>
            <wp:effectExtent l="0" t="0" r="5080" b="0"/>
            <wp:docPr id="17304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47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0751" cy="204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4126" w14:textId="77777777" w:rsidR="00847FC4" w:rsidRDefault="00C97670" w:rsidP="00C97670">
      <w:pPr>
        <w:pStyle w:val="ListParagraph"/>
        <w:numPr>
          <w:ilvl w:val="0"/>
          <w:numId w:val="1"/>
        </w:numPr>
      </w:pPr>
      <w:r>
        <w:t xml:space="preserve">Protein relationships are clustered into a tree diagram with clickable nodes depicting taxonomic clades, evolutionary events, and links to protein alignments using </w:t>
      </w:r>
      <w:proofErr w:type="spellStart"/>
      <w:r>
        <w:t>JalView</w:t>
      </w:r>
      <w:proofErr w:type="spellEnd"/>
      <w:r>
        <w:t xml:space="preserve">. </w:t>
      </w:r>
    </w:p>
    <w:p w14:paraId="13F4B75A" w14:textId="24B08BB4" w:rsidR="00261AE0" w:rsidRDefault="00C97670" w:rsidP="00C97670">
      <w:pPr>
        <w:pStyle w:val="ListParagraph"/>
        <w:numPr>
          <w:ilvl w:val="0"/>
          <w:numId w:val="1"/>
        </w:numPr>
      </w:pPr>
      <w:r>
        <w:t xml:space="preserve">Red </w:t>
      </w:r>
      <w:r>
        <w:t>nodes correspond to duplication events, dark blue</w:t>
      </w:r>
      <w:r>
        <w:t xml:space="preserve"> </w:t>
      </w:r>
      <w:r>
        <w:t>nodes show speciation events, and light blue nodes are ambiguous duplications</w:t>
      </w:r>
      <w:r w:rsidR="00847FC4">
        <w:t xml:space="preserve"> </w:t>
      </w:r>
      <w:r w:rsidR="00847FC4">
        <w:t>The filled green rectangles at the right demonstrate pro</w:t>
      </w:r>
      <w:r w:rsidR="00847FC4">
        <w:t/>
      </w:r>
      <w:proofErr w:type="spellStart"/>
      <w:r w:rsidR="00847FC4">
        <w:t>tein</w:t>
      </w:r>
      <w:proofErr w:type="spellEnd"/>
      <w:r w:rsidR="00847FC4">
        <w:t xml:space="preserve"> alignments. Light green alignments represent one protein, dark green shading shows a consensus alignment for a collapsed node in the tree. Black ticks in the green bars show positions of introns</w:t>
      </w:r>
    </w:p>
    <w:p w14:paraId="0EFE62BF" w14:textId="7DE48D67" w:rsidR="00847FC4" w:rsidRDefault="00847FC4" w:rsidP="00C97670">
      <w:pPr>
        <w:pStyle w:val="ListParagraph"/>
        <w:numPr>
          <w:ilvl w:val="0"/>
          <w:numId w:val="1"/>
        </w:numPr>
      </w:pPr>
      <w:r>
        <w:t>The tree in the figure shows the human MYO6 protein in red. The mouse orthologue is boxed.</w:t>
      </w:r>
    </w:p>
    <w:p w14:paraId="4D655D20" w14:textId="44977253" w:rsidR="00847FC4" w:rsidRDefault="00847FC4" w:rsidP="00847FC4">
      <w:r w:rsidRPr="00847FC4">
        <w:drawing>
          <wp:inline distT="0" distB="0" distL="0" distR="0" wp14:anchorId="0109B352" wp14:editId="757E8CD3">
            <wp:extent cx="5731510" cy="3349625"/>
            <wp:effectExtent l="0" t="0" r="2540" b="3175"/>
            <wp:docPr id="586526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266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C275" w14:textId="0655796A" w:rsidR="00F119D9" w:rsidRDefault="00F119D9" w:rsidP="00847FC4">
      <w:r>
        <w:t>GO terms listed for Homo sapiens MYO6 transcript ENST00000428345. Classifications in</w:t>
      </w:r>
      <w:r>
        <w:t/>
      </w:r>
      <w:proofErr w:type="spellStart"/>
      <w:r>
        <w:t>ferred</w:t>
      </w:r>
      <w:proofErr w:type="spellEnd"/>
      <w:r>
        <w:t xml:space="preserve"> by comparison to the mouse homologue have evidence code IEA.</w:t>
      </w:r>
    </w:p>
    <w:p w14:paraId="3B2779F6" w14:textId="7188C132" w:rsidR="00847FC4" w:rsidRDefault="00847FC4" w:rsidP="00847FC4">
      <w:r w:rsidRPr="00847FC4">
        <w:lastRenderedPageBreak/>
        <w:drawing>
          <wp:inline distT="0" distB="0" distL="0" distR="0" wp14:anchorId="26689812" wp14:editId="159EBC97">
            <wp:extent cx="3403775" cy="2717940"/>
            <wp:effectExtent l="0" t="0" r="6350" b="6350"/>
            <wp:docPr id="483378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786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3775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BD9F" w14:textId="26BCE276" w:rsidR="00F119D9" w:rsidRDefault="00F119D9" w:rsidP="00F119D9">
      <w:pPr>
        <w:pStyle w:val="ListParagraph"/>
        <w:numPr>
          <w:ilvl w:val="0"/>
          <w:numId w:val="1"/>
        </w:numPr>
      </w:pPr>
      <w:r>
        <w:t xml:space="preserve">Description of evidence codes showing how a transcript was </w:t>
      </w:r>
      <w:proofErr w:type="spellStart"/>
      <w:r>
        <w:t>as</w:t>
      </w:r>
      <w:r>
        <w:t>signed</w:t>
      </w:r>
      <w:proofErr w:type="spellEnd"/>
      <w:r>
        <w:t xml:space="preserve"> to a GO term</w:t>
      </w:r>
    </w:p>
    <w:p w14:paraId="198874C6" w14:textId="77777777" w:rsidR="00F119D9" w:rsidRDefault="00F119D9" w:rsidP="00847FC4"/>
    <w:p w14:paraId="38C6B688" w14:textId="3B7368E3" w:rsidR="00F119D9" w:rsidRDefault="00F119D9" w:rsidP="00847FC4">
      <w:r>
        <w:t>Predicted Regulatory Features for Myosin 6</w:t>
      </w:r>
    </w:p>
    <w:p w14:paraId="19481F9F" w14:textId="49070042" w:rsidR="00F119D9" w:rsidRDefault="00F119D9" w:rsidP="00847FC4">
      <w:r w:rsidRPr="00F119D9">
        <w:drawing>
          <wp:inline distT="0" distB="0" distL="0" distR="0" wp14:anchorId="2CA1B9EC" wp14:editId="05B39E25">
            <wp:extent cx="5731510" cy="3572510"/>
            <wp:effectExtent l="0" t="0" r="2540" b="8890"/>
            <wp:docPr id="89141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186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59A0" w14:textId="3FC068A2" w:rsidR="00F119D9" w:rsidRDefault="00F119D9" w:rsidP="00F119D9">
      <w:pPr>
        <w:pStyle w:val="ListParagraph"/>
        <w:numPr>
          <w:ilvl w:val="0"/>
          <w:numId w:val="1"/>
        </w:numPr>
      </w:pPr>
      <w:r>
        <w:t>The 'regulatory features' track in the 'region in detail' view reveal DNase I hypersensitive sites and numerous histone modification and methylation sites aligning to the 5'UTR and upstream region of MYO6 transcripts</w:t>
      </w:r>
    </w:p>
    <w:p w14:paraId="68893ABD" w14:textId="77777777" w:rsidR="00F119D9" w:rsidRDefault="00F119D9" w:rsidP="00F119D9"/>
    <w:p w14:paraId="72D3617F" w14:textId="5DF4EFF9" w:rsidR="00F119D9" w:rsidRDefault="00F119D9" w:rsidP="00F119D9">
      <w:r>
        <w:t xml:space="preserve">Case Study 3: Viewing information outside </w:t>
      </w:r>
      <w:proofErr w:type="spellStart"/>
      <w:r>
        <w:t>Ensembl</w:t>
      </w:r>
      <w:proofErr w:type="spellEnd"/>
      <w:r>
        <w:t xml:space="preserve"> databases</w:t>
      </w:r>
    </w:p>
    <w:p w14:paraId="59FF7664" w14:textId="4543DA41" w:rsidR="00F119D9" w:rsidRDefault="00F119D9" w:rsidP="00F119D9">
      <w:pPr>
        <w:pStyle w:val="ListParagraph"/>
        <w:numPr>
          <w:ilvl w:val="0"/>
          <w:numId w:val="1"/>
        </w:numPr>
      </w:pPr>
      <w:r>
        <w:lastRenderedPageBreak/>
        <w:t>T</w:t>
      </w:r>
      <w:r>
        <w:t>he Distributed Annotation System (DAS)</w:t>
      </w:r>
      <w:r w:rsidR="00CA3261">
        <w:t xml:space="preserve"> </w:t>
      </w:r>
      <w:r>
        <w:t xml:space="preserve">allows </w:t>
      </w:r>
      <w:proofErr w:type="spellStart"/>
      <w:r>
        <w:t>Ensembl</w:t>
      </w:r>
      <w:proofErr w:type="spellEnd"/>
      <w:r>
        <w:t xml:space="preserve"> to link out to and display information from external databases in supported formats. DAS transforms </w:t>
      </w:r>
      <w:proofErr w:type="spellStart"/>
      <w:r>
        <w:t>Ensembl</w:t>
      </w:r>
      <w:proofErr w:type="spellEnd"/>
      <w:r>
        <w:t xml:space="preserve"> into a framework where third party annotation can be added and viewed alongside </w:t>
      </w:r>
      <w:proofErr w:type="spellStart"/>
      <w:r>
        <w:t>Ensembl</w:t>
      </w:r>
      <w:proofErr w:type="spellEnd"/>
      <w:r>
        <w:t xml:space="preserve"> annotation.</w:t>
      </w:r>
    </w:p>
    <w:p w14:paraId="6E11CC02" w14:textId="5237CB31" w:rsidR="00CA3261" w:rsidRDefault="00CA3261" w:rsidP="00CA3261">
      <w:pPr>
        <w:pStyle w:val="ListParagraph"/>
      </w:pPr>
      <w:r w:rsidRPr="00CA3261">
        <w:drawing>
          <wp:inline distT="0" distB="0" distL="0" distR="0" wp14:anchorId="417AE5DA" wp14:editId="4D316BBB">
            <wp:extent cx="4335468" cy="1728711"/>
            <wp:effectExtent l="0" t="0" r="8255" b="5080"/>
            <wp:docPr id="15625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6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7733" cy="172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8399" w14:textId="1A438CA7" w:rsidR="00CA3261" w:rsidRDefault="00CA3261" w:rsidP="00CA3261">
      <w:pPr>
        <w:pStyle w:val="ListParagraph"/>
      </w:pPr>
      <w:r>
        <w:t xml:space="preserve">This figure demonstrates how </w:t>
      </w:r>
      <w:r>
        <w:t>to view external data using</w:t>
      </w:r>
      <w:r>
        <w:t xml:space="preserve"> </w:t>
      </w:r>
      <w:r>
        <w:t>DAS along the genome. Data from the MICER project (a resource containing vectors and information to</w:t>
      </w:r>
      <w:r>
        <w:t xml:space="preserve"> </w:t>
      </w:r>
      <w:r>
        <w:t>generate knock-out mice) is drawn for a region of the</w:t>
      </w:r>
      <w:r>
        <w:t xml:space="preserve"> </w:t>
      </w:r>
      <w:r>
        <w:t>mouse genome</w:t>
      </w:r>
    </w:p>
    <w:p w14:paraId="04D5E373" w14:textId="77777777" w:rsidR="00CA3261" w:rsidRDefault="00CA3261" w:rsidP="00CA3261">
      <w:pPr>
        <w:pStyle w:val="ListParagraph"/>
      </w:pPr>
    </w:p>
    <w:p w14:paraId="79DC676D" w14:textId="4B9E32BF" w:rsidR="00CA3261" w:rsidRDefault="00CA3261" w:rsidP="00CA3261">
      <w:pPr>
        <w:pStyle w:val="ListParagraph"/>
      </w:pPr>
      <w:r>
        <w:t xml:space="preserve">Case Study </w:t>
      </w:r>
      <w:proofErr w:type="gramStart"/>
      <w:r>
        <w:t>4 :</w:t>
      </w:r>
      <w:proofErr w:type="gramEnd"/>
      <w:r>
        <w:t xml:space="preserve"> From phenotype to SNP- exploring variation</w:t>
      </w:r>
    </w:p>
    <w:p w14:paraId="1A7ACB64" w14:textId="0FABF857" w:rsidR="00CA3261" w:rsidRDefault="00CA3261" w:rsidP="000737DE">
      <w:pPr>
        <w:pStyle w:val="ListParagraph"/>
      </w:pPr>
    </w:p>
    <w:p w14:paraId="3ECF65B4" w14:textId="713056F9" w:rsidR="000737DE" w:rsidRDefault="000737DE" w:rsidP="000737DE">
      <w:pPr>
        <w:pStyle w:val="ListParagraph"/>
      </w:pPr>
      <w:r w:rsidRPr="000737DE">
        <w:drawing>
          <wp:inline distT="0" distB="0" distL="0" distR="0" wp14:anchorId="66856FB6" wp14:editId="5C252B82">
            <wp:extent cx="4629150" cy="3177732"/>
            <wp:effectExtent l="0" t="0" r="0" b="3810"/>
            <wp:docPr id="532651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516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6181" cy="318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1496" w14:textId="6B7C7ED6" w:rsidR="000737DE" w:rsidRDefault="000737DE" w:rsidP="000737DE">
      <w:pPr>
        <w:pStyle w:val="ListParagraph"/>
        <w:numPr>
          <w:ilvl w:val="0"/>
          <w:numId w:val="1"/>
        </w:numPr>
      </w:pPr>
      <w:r>
        <w:t>The phenotype data link at the left reveals this variation is implicated in several diseases, including Rheumatoid Arthritis and Crohn's Disease</w:t>
      </w:r>
    </w:p>
    <w:p w14:paraId="7B5F6AB5" w14:textId="068208FF" w:rsidR="000737DE" w:rsidRDefault="000737DE" w:rsidP="000737DE">
      <w:r w:rsidRPr="000737DE">
        <w:lastRenderedPageBreak/>
        <w:drawing>
          <wp:inline distT="0" distB="0" distL="0" distR="0" wp14:anchorId="459FDABB" wp14:editId="49B942CF">
            <wp:extent cx="5731510" cy="3379470"/>
            <wp:effectExtent l="0" t="0" r="2540" b="0"/>
            <wp:docPr id="81025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564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6ED7" w14:textId="05585160" w:rsidR="000737DE" w:rsidRDefault="000737DE" w:rsidP="000737DE">
      <w:pPr>
        <w:pStyle w:val="ListParagraph"/>
        <w:numPr>
          <w:ilvl w:val="0"/>
          <w:numId w:val="1"/>
        </w:numPr>
      </w:pPr>
      <w:r>
        <w:t>The region around rs2476601 is shown, with the non-synonymous SNPs in yellow. rs2476601 is circled, and it aligns with an exon found in two coding, and one non-coding, splice variants of the PTPN22 gene</w:t>
      </w:r>
    </w:p>
    <w:sectPr w:rsidR="000737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1C0022"/>
    <w:multiLevelType w:val="hybridMultilevel"/>
    <w:tmpl w:val="EFDC6DF6"/>
    <w:lvl w:ilvl="0" w:tplc="1B0040E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14952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785"/>
    <w:rsid w:val="000737DE"/>
    <w:rsid w:val="00082548"/>
    <w:rsid w:val="00261AE0"/>
    <w:rsid w:val="00274785"/>
    <w:rsid w:val="005700AC"/>
    <w:rsid w:val="00847FC4"/>
    <w:rsid w:val="00B44862"/>
    <w:rsid w:val="00C97670"/>
    <w:rsid w:val="00CA3261"/>
    <w:rsid w:val="00DE042F"/>
    <w:rsid w:val="00E202B6"/>
    <w:rsid w:val="00E2789D"/>
    <w:rsid w:val="00ED13FC"/>
    <w:rsid w:val="00F119D9"/>
    <w:rsid w:val="00FB1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B10E26F"/>
  <w15:chartTrackingRefBased/>
  <w15:docId w15:val="{C3825707-00DB-4785-BDFC-13C7F7A3F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47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6</Pages>
  <Words>828</Words>
  <Characters>4721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 cc</dc:creator>
  <cp:keywords/>
  <dc:description/>
  <cp:lastModifiedBy>kenn cc</cp:lastModifiedBy>
  <cp:revision>1</cp:revision>
  <dcterms:created xsi:type="dcterms:W3CDTF">2023-05-18T12:18:00Z</dcterms:created>
  <dcterms:modified xsi:type="dcterms:W3CDTF">2023-05-18T14:59:00Z</dcterms:modified>
</cp:coreProperties>
</file>